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6D16" w14:textId="21DE00B6" w:rsidR="007727D7" w:rsidRDefault="00E87CD8" w:rsidP="00B228C8">
      <w:pPr>
        <w:jc w:val="center"/>
        <w:rPr>
          <w:b/>
          <w:bCs/>
          <w:color w:val="4472C4" w:themeColor="accent1"/>
          <w:sz w:val="28"/>
          <w:szCs w:val="28"/>
        </w:rPr>
      </w:pPr>
      <w:r>
        <w:rPr>
          <w:b/>
          <w:bCs/>
          <w:color w:val="4472C4" w:themeColor="accent1"/>
          <w:sz w:val="28"/>
          <w:szCs w:val="28"/>
        </w:rPr>
        <w:t>Fonti di energia</w:t>
      </w:r>
    </w:p>
    <w:p w14:paraId="62A9A172" w14:textId="22BA0A40" w:rsidR="00B228C8" w:rsidRPr="00EC5E30" w:rsidRDefault="00691FBF" w:rsidP="0096569D">
      <w:pPr>
        <w:jc w:val="both"/>
        <w:rPr>
          <w:sz w:val="24"/>
          <w:szCs w:val="24"/>
        </w:rPr>
      </w:pPr>
      <w:r w:rsidRPr="00EC5E30">
        <w:rPr>
          <w:sz w:val="24"/>
          <w:szCs w:val="24"/>
        </w:rPr>
        <w:t xml:space="preserve">Il presente documento </w:t>
      </w:r>
      <w:r w:rsidR="00004472" w:rsidRPr="00EC5E30">
        <w:rPr>
          <w:sz w:val="24"/>
          <w:szCs w:val="24"/>
        </w:rPr>
        <w:t xml:space="preserve">illustra </w:t>
      </w:r>
      <w:r w:rsidRPr="00EC5E30">
        <w:rPr>
          <w:sz w:val="24"/>
          <w:szCs w:val="24"/>
        </w:rPr>
        <w:t xml:space="preserve">la </w:t>
      </w:r>
      <w:r w:rsidR="00004472" w:rsidRPr="00EC5E30">
        <w:rPr>
          <w:sz w:val="24"/>
          <w:szCs w:val="24"/>
        </w:rPr>
        <w:t>provenienza dell’energia</w:t>
      </w:r>
      <w:r w:rsidR="004375FD" w:rsidRPr="00EC5E30">
        <w:rPr>
          <w:sz w:val="24"/>
          <w:szCs w:val="24"/>
        </w:rPr>
        <w:t xml:space="preserve"> utilizzata da Maglificio Po.</w:t>
      </w:r>
    </w:p>
    <w:p w14:paraId="242B0F0D" w14:textId="5D296E65" w:rsidR="00E06E33" w:rsidRPr="00EC5E30" w:rsidRDefault="00E06E33" w:rsidP="0096569D">
      <w:pPr>
        <w:jc w:val="both"/>
        <w:rPr>
          <w:sz w:val="24"/>
          <w:szCs w:val="24"/>
        </w:rPr>
      </w:pPr>
      <w:r w:rsidRPr="00EC5E30">
        <w:rPr>
          <w:sz w:val="24"/>
          <w:szCs w:val="24"/>
          <w:u w:val="single"/>
        </w:rPr>
        <w:t>L’energia elettrica</w:t>
      </w:r>
      <w:r w:rsidRPr="00EC5E30">
        <w:rPr>
          <w:sz w:val="24"/>
          <w:szCs w:val="24"/>
        </w:rPr>
        <w:t xml:space="preserve"> che </w:t>
      </w:r>
      <w:r w:rsidR="00CC2A14" w:rsidRPr="00EC5E30">
        <w:rPr>
          <w:sz w:val="24"/>
          <w:szCs w:val="24"/>
        </w:rPr>
        <w:t>l’azienda consuma</w:t>
      </w:r>
      <w:r w:rsidRPr="00EC5E30">
        <w:rPr>
          <w:sz w:val="24"/>
          <w:szCs w:val="24"/>
        </w:rPr>
        <w:t xml:space="preserve"> deriva da due fonti:</w:t>
      </w:r>
    </w:p>
    <w:p w14:paraId="740242A8" w14:textId="7242880A" w:rsidR="00E06E33" w:rsidRPr="00EC5E30" w:rsidRDefault="00E06E33" w:rsidP="0096569D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EC5E30">
        <w:rPr>
          <w:sz w:val="24"/>
          <w:szCs w:val="24"/>
        </w:rPr>
        <w:t>Pannelli solari</w:t>
      </w:r>
    </w:p>
    <w:p w14:paraId="7D69DA7F" w14:textId="79EAAA3C" w:rsidR="00E06E33" w:rsidRPr="00EC5E30" w:rsidRDefault="00E06E33" w:rsidP="0096569D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EC5E30">
        <w:rPr>
          <w:sz w:val="24"/>
          <w:szCs w:val="24"/>
        </w:rPr>
        <w:t>Fornitore Egea</w:t>
      </w:r>
    </w:p>
    <w:p w14:paraId="43EDF8B5" w14:textId="65464E50" w:rsidR="00E06E33" w:rsidRPr="00EC5E30" w:rsidRDefault="00E06E33" w:rsidP="0096569D">
      <w:pPr>
        <w:jc w:val="both"/>
        <w:rPr>
          <w:sz w:val="24"/>
          <w:szCs w:val="24"/>
        </w:rPr>
      </w:pPr>
      <w:r w:rsidRPr="00EC5E30">
        <w:rPr>
          <w:sz w:val="24"/>
          <w:szCs w:val="24"/>
        </w:rPr>
        <w:t>Dato che i pannelli solari sono stati introdotti all</w:t>
      </w:r>
      <w:r w:rsidR="00012DB4" w:rsidRPr="00EC5E30">
        <w:rPr>
          <w:sz w:val="24"/>
          <w:szCs w:val="24"/>
        </w:rPr>
        <w:t xml:space="preserve">’inizio </w:t>
      </w:r>
      <w:r w:rsidRPr="00EC5E30">
        <w:rPr>
          <w:sz w:val="24"/>
          <w:szCs w:val="24"/>
        </w:rPr>
        <w:t>del 202</w:t>
      </w:r>
      <w:r w:rsidR="00012DB4" w:rsidRPr="00EC5E30">
        <w:rPr>
          <w:sz w:val="24"/>
          <w:szCs w:val="24"/>
        </w:rPr>
        <w:t>1</w:t>
      </w:r>
      <w:r w:rsidRPr="00EC5E30">
        <w:rPr>
          <w:sz w:val="24"/>
          <w:szCs w:val="24"/>
        </w:rPr>
        <w:t xml:space="preserve">, non esistono dati storici che </w:t>
      </w:r>
      <w:r w:rsidR="00CC56A6" w:rsidRPr="00EC5E30">
        <w:rPr>
          <w:sz w:val="24"/>
          <w:szCs w:val="24"/>
        </w:rPr>
        <w:t>indichino</w:t>
      </w:r>
      <w:r w:rsidRPr="00EC5E30">
        <w:rPr>
          <w:sz w:val="24"/>
          <w:szCs w:val="24"/>
        </w:rPr>
        <w:t xml:space="preserve"> quanta energia ha prodotto. Per calcolarlo, ci si basa dunque sulle previsioni </w:t>
      </w:r>
      <w:r w:rsidR="00CC56A6" w:rsidRPr="00EC5E30">
        <w:rPr>
          <w:sz w:val="24"/>
          <w:szCs w:val="24"/>
        </w:rPr>
        <w:t>della ditta</w:t>
      </w:r>
      <w:r w:rsidRPr="00EC5E30">
        <w:rPr>
          <w:sz w:val="24"/>
          <w:szCs w:val="24"/>
        </w:rPr>
        <w:t xml:space="preserve"> che l’ha installato:</w:t>
      </w:r>
    </w:p>
    <w:p w14:paraId="19F435FA" w14:textId="356D5623" w:rsidR="00B228C8" w:rsidRPr="00EC5E30" w:rsidRDefault="00E06E33" w:rsidP="0096569D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 w:rsidRPr="00EC5E30">
        <w:rPr>
          <w:sz w:val="24"/>
          <w:szCs w:val="24"/>
        </w:rPr>
        <w:t>Produzione annua attesa:</w:t>
      </w:r>
      <w:r w:rsidRPr="00EC5E30">
        <w:rPr>
          <w:sz w:val="24"/>
          <w:szCs w:val="24"/>
        </w:rPr>
        <w:tab/>
        <w:t xml:space="preserve"> 69.000 kwh</w:t>
      </w:r>
    </w:p>
    <w:p w14:paraId="54E57743" w14:textId="7D4D1466" w:rsidR="00E06E33" w:rsidRPr="00EC5E30" w:rsidRDefault="00E06E33" w:rsidP="0096569D">
      <w:pPr>
        <w:pStyle w:val="Paragrafoelenco"/>
        <w:numPr>
          <w:ilvl w:val="0"/>
          <w:numId w:val="2"/>
        </w:numPr>
        <w:jc w:val="both"/>
        <w:rPr>
          <w:sz w:val="24"/>
          <w:szCs w:val="24"/>
        </w:rPr>
      </w:pPr>
      <w:r w:rsidRPr="00EC5E30">
        <w:rPr>
          <w:sz w:val="24"/>
          <w:szCs w:val="24"/>
        </w:rPr>
        <w:t>Quota di autoconsumo:</w:t>
      </w:r>
      <w:r w:rsidRPr="00EC5E30">
        <w:rPr>
          <w:sz w:val="24"/>
          <w:szCs w:val="24"/>
        </w:rPr>
        <w:tab/>
        <w:t>75%</w:t>
      </w:r>
    </w:p>
    <w:p w14:paraId="11148F35" w14:textId="74254E03" w:rsidR="00012DB4" w:rsidRPr="00EC5E30" w:rsidRDefault="00012DB4" w:rsidP="0096569D">
      <w:pPr>
        <w:jc w:val="both"/>
        <w:rPr>
          <w:sz w:val="24"/>
          <w:szCs w:val="24"/>
        </w:rPr>
      </w:pPr>
      <w:r w:rsidRPr="00EC5E30">
        <w:rPr>
          <w:sz w:val="24"/>
          <w:szCs w:val="24"/>
        </w:rPr>
        <w:t>Moltiplicando i due valori, si ottiene quindi la quantità, prevista, di energia prodotta dall’impianto e utilizzata nello stabilimento</w:t>
      </w:r>
      <w:r w:rsidR="004B313D" w:rsidRPr="00EC5E30">
        <w:rPr>
          <w:sz w:val="24"/>
          <w:szCs w:val="24"/>
        </w:rPr>
        <w:t>, pari a:</w:t>
      </w:r>
    </w:p>
    <w:p w14:paraId="5F12C0A0" w14:textId="751FF190" w:rsidR="00012DB4" w:rsidRPr="00EC5E30" w:rsidRDefault="00012DB4" w:rsidP="0096569D">
      <w:pPr>
        <w:jc w:val="both"/>
        <w:rPr>
          <w:rFonts w:eastAsiaTheme="minorEastAsia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69000*0,75=51750 kwh</m:t>
          </m:r>
        </m:oMath>
      </m:oMathPara>
    </w:p>
    <w:p w14:paraId="6583258F" w14:textId="2473D657" w:rsidR="00012DB4" w:rsidRPr="00EC5E30" w:rsidRDefault="00012DB4" w:rsidP="0096569D">
      <w:pPr>
        <w:jc w:val="both"/>
        <w:rPr>
          <w:rFonts w:eastAsiaTheme="minorEastAsia"/>
          <w:sz w:val="24"/>
          <w:szCs w:val="24"/>
        </w:rPr>
      </w:pPr>
      <w:r w:rsidRPr="00EC5E30">
        <w:rPr>
          <w:rFonts w:eastAsiaTheme="minorEastAsia"/>
          <w:sz w:val="24"/>
          <w:szCs w:val="24"/>
        </w:rPr>
        <w:t>Per essere il più precisi possibile, è ancora possibile adattare questo risultato allo scostamento delle previsioni per i primi tre mesi di attività dell’impianto</w:t>
      </w:r>
      <w:r w:rsidRPr="00EC5E30">
        <w:rPr>
          <w:rStyle w:val="Rimandonotaapidipagina"/>
          <w:rFonts w:eastAsiaTheme="minorEastAsia"/>
          <w:sz w:val="24"/>
          <w:szCs w:val="24"/>
        </w:rPr>
        <w:footnoteReference w:id="1"/>
      </w:r>
      <w:r w:rsidRPr="00EC5E30">
        <w:rPr>
          <w:rFonts w:eastAsiaTheme="minorEastAsia"/>
          <w:sz w:val="24"/>
          <w:szCs w:val="24"/>
        </w:rPr>
        <w:t xml:space="preserve">. Osservando lo scostamento, si nota che la produttività è stata il 17,7% superiore alla previsione. </w:t>
      </w:r>
      <w:r w:rsidR="00C35725" w:rsidRPr="00EC5E30">
        <w:rPr>
          <w:rFonts w:eastAsiaTheme="minorEastAsia"/>
          <w:sz w:val="24"/>
          <w:szCs w:val="24"/>
        </w:rPr>
        <w:t>Si moltiplica</w:t>
      </w:r>
      <w:r w:rsidRPr="00EC5E30">
        <w:rPr>
          <w:rFonts w:eastAsiaTheme="minorEastAsia"/>
          <w:sz w:val="24"/>
          <w:szCs w:val="24"/>
        </w:rPr>
        <w:t xml:space="preserve"> dunque il risultato sopra trovato per un fattore 1,17:</w:t>
      </w:r>
    </w:p>
    <w:p w14:paraId="65716E03" w14:textId="0CA9EFDD" w:rsidR="00012DB4" w:rsidRPr="00EC5E30" w:rsidRDefault="00012DB4" w:rsidP="0096569D">
      <w:pPr>
        <w:jc w:val="both"/>
        <w:rPr>
          <w:rFonts w:eastAsiaTheme="minorEastAsia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51750*1,17=60550 kwh</m:t>
          </m:r>
        </m:oMath>
      </m:oMathPara>
    </w:p>
    <w:p w14:paraId="6E63B3E5" w14:textId="38CA4E31" w:rsidR="00012DB4" w:rsidRPr="00EC5E30" w:rsidRDefault="004B313D" w:rsidP="0096569D">
      <w:pPr>
        <w:jc w:val="both"/>
        <w:rPr>
          <w:sz w:val="24"/>
          <w:szCs w:val="24"/>
        </w:rPr>
      </w:pPr>
      <w:r w:rsidRPr="00EC5E30">
        <w:rPr>
          <w:sz w:val="24"/>
          <w:szCs w:val="24"/>
        </w:rPr>
        <w:t xml:space="preserve">Considerato che il consumo di energia elettrica </w:t>
      </w:r>
      <w:r w:rsidR="00C76FD0" w:rsidRPr="00EC5E30">
        <w:rPr>
          <w:sz w:val="24"/>
          <w:szCs w:val="24"/>
        </w:rPr>
        <w:t>d</w:t>
      </w:r>
      <w:r w:rsidR="00721967" w:rsidRPr="00EC5E30">
        <w:rPr>
          <w:sz w:val="24"/>
          <w:szCs w:val="24"/>
        </w:rPr>
        <w:t>ello</w:t>
      </w:r>
      <w:r w:rsidR="00C76FD0" w:rsidRPr="00EC5E30">
        <w:rPr>
          <w:sz w:val="24"/>
          <w:szCs w:val="24"/>
        </w:rPr>
        <w:t xml:space="preserve"> stabilimento n</w:t>
      </w:r>
      <w:r w:rsidRPr="00EC5E30">
        <w:rPr>
          <w:sz w:val="24"/>
          <w:szCs w:val="24"/>
        </w:rPr>
        <w:t xml:space="preserve">el 2020 è stato </w:t>
      </w:r>
      <w:r w:rsidR="00721967" w:rsidRPr="00EC5E30">
        <w:rPr>
          <w:sz w:val="24"/>
          <w:szCs w:val="24"/>
        </w:rPr>
        <w:t>pari a</w:t>
      </w:r>
      <w:r w:rsidRPr="00EC5E30">
        <w:rPr>
          <w:sz w:val="24"/>
          <w:szCs w:val="24"/>
        </w:rPr>
        <w:t xml:space="preserve"> 224.000 kwh, è facile osservare che l’impianto genera il:</w:t>
      </w:r>
    </w:p>
    <w:p w14:paraId="652813B7" w14:textId="27399045" w:rsidR="004B313D" w:rsidRPr="00EC5E30" w:rsidRDefault="00E87CD8" w:rsidP="0096569D">
      <w:pPr>
        <w:jc w:val="both"/>
        <w:rPr>
          <w:rFonts w:eastAsiaTheme="minorEastAsia"/>
          <w:sz w:val="24"/>
          <w:szCs w:val="24"/>
        </w:rPr>
      </w:pPr>
      <m:oMathPara>
        <m:oMath>
          <m:f>
            <m:fPr>
              <m:type m:val="skw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60550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224000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=27%</m:t>
          </m:r>
        </m:oMath>
      </m:oMathPara>
    </w:p>
    <w:p w14:paraId="66FF6F08" w14:textId="70537CF7" w:rsidR="00135127" w:rsidRPr="00EC5E30" w:rsidRDefault="004B313D" w:rsidP="0096569D">
      <w:pPr>
        <w:jc w:val="both"/>
        <w:rPr>
          <w:rFonts w:eastAsiaTheme="minorEastAsia"/>
          <w:sz w:val="24"/>
          <w:szCs w:val="24"/>
        </w:rPr>
      </w:pPr>
      <w:r w:rsidRPr="00EC5E30">
        <w:rPr>
          <w:rFonts w:eastAsiaTheme="minorEastAsia"/>
          <w:sz w:val="24"/>
          <w:szCs w:val="24"/>
        </w:rPr>
        <w:t>del fabbisogno aziendale.</w:t>
      </w:r>
    </w:p>
    <w:p w14:paraId="057EBFC7" w14:textId="58F53217" w:rsidR="004B313D" w:rsidRPr="00EC5E30" w:rsidRDefault="004B313D" w:rsidP="0096569D">
      <w:pPr>
        <w:jc w:val="both"/>
        <w:rPr>
          <w:rFonts w:eastAsiaTheme="minorEastAsia"/>
          <w:sz w:val="24"/>
          <w:szCs w:val="24"/>
        </w:rPr>
      </w:pPr>
      <w:r w:rsidRPr="00EC5E30">
        <w:rPr>
          <w:rFonts w:eastAsiaTheme="minorEastAsia"/>
          <w:sz w:val="24"/>
          <w:szCs w:val="24"/>
        </w:rPr>
        <w:t>Il restante 73% viene acquistato dal fornitore Egea, con cui è stato firmato un contratto per cui, dal 01/01/2021, tutta l’energia elettrica che ci forniscono proviene da fonti rinnovabili.</w:t>
      </w:r>
    </w:p>
    <w:p w14:paraId="551C2B5B" w14:textId="457D4AB5" w:rsidR="004B313D" w:rsidRPr="00EC5E30" w:rsidRDefault="004B313D" w:rsidP="0096569D">
      <w:pPr>
        <w:jc w:val="both"/>
        <w:rPr>
          <w:sz w:val="24"/>
          <w:szCs w:val="24"/>
        </w:rPr>
      </w:pPr>
      <w:r w:rsidRPr="00EC5E30">
        <w:rPr>
          <w:rFonts w:eastAsiaTheme="minorEastAsia"/>
          <w:sz w:val="24"/>
          <w:szCs w:val="24"/>
        </w:rPr>
        <w:t xml:space="preserve">Per quanto riguarda l’acquisto di </w:t>
      </w:r>
      <w:r w:rsidRPr="00EC5E30">
        <w:rPr>
          <w:rFonts w:eastAsiaTheme="minorEastAsia"/>
          <w:sz w:val="24"/>
          <w:szCs w:val="24"/>
          <w:u w:val="single"/>
        </w:rPr>
        <w:t>gas</w:t>
      </w:r>
      <w:r w:rsidRPr="00EC5E30">
        <w:rPr>
          <w:rFonts w:eastAsiaTheme="minorEastAsia"/>
          <w:sz w:val="24"/>
          <w:szCs w:val="24"/>
        </w:rPr>
        <w:t xml:space="preserve">, si è parlato con il fornitore </w:t>
      </w:r>
      <w:r w:rsidR="0096569D" w:rsidRPr="00EC5E30">
        <w:rPr>
          <w:rFonts w:eastAsiaTheme="minorEastAsia"/>
          <w:sz w:val="24"/>
          <w:szCs w:val="24"/>
        </w:rPr>
        <w:t xml:space="preserve">(Egea) </w:t>
      </w:r>
      <w:r w:rsidRPr="00EC5E30">
        <w:rPr>
          <w:rFonts w:eastAsiaTheme="minorEastAsia"/>
          <w:sz w:val="24"/>
          <w:szCs w:val="24"/>
        </w:rPr>
        <w:t xml:space="preserve">a proposito della possibilità di passare all’opzione </w:t>
      </w:r>
      <w:r w:rsidR="0096569D" w:rsidRPr="00EC5E30">
        <w:rPr>
          <w:rFonts w:eastAsiaTheme="minorEastAsia"/>
          <w:sz w:val="24"/>
          <w:szCs w:val="24"/>
        </w:rPr>
        <w:t xml:space="preserve">“Gas VER-de”, </w:t>
      </w:r>
      <w:r w:rsidRPr="00EC5E30">
        <w:rPr>
          <w:rFonts w:eastAsiaTheme="minorEastAsia"/>
          <w:sz w:val="24"/>
          <w:szCs w:val="24"/>
        </w:rPr>
        <w:t xml:space="preserve">offerta che, a fronte di un aumento del prezzo, garantisce che </w:t>
      </w:r>
      <w:r w:rsidR="0096569D" w:rsidRPr="00EC5E30">
        <w:rPr>
          <w:rFonts w:eastAsiaTheme="minorEastAsia"/>
          <w:sz w:val="24"/>
          <w:szCs w:val="24"/>
        </w:rPr>
        <w:t>le emissioni di CO</w:t>
      </w:r>
      <w:r w:rsidR="0096569D" w:rsidRPr="00EC5E30">
        <w:rPr>
          <w:rFonts w:eastAsiaTheme="minorEastAsia"/>
          <w:sz w:val="24"/>
          <w:szCs w:val="24"/>
          <w:vertAlign w:val="subscript"/>
        </w:rPr>
        <w:t>2</w:t>
      </w:r>
      <w:r w:rsidR="0096569D" w:rsidRPr="00EC5E30">
        <w:rPr>
          <w:sz w:val="24"/>
          <w:szCs w:val="24"/>
        </w:rPr>
        <w:t xml:space="preserve"> fornite </w:t>
      </w:r>
      <w:r w:rsidR="00721967" w:rsidRPr="00EC5E30">
        <w:rPr>
          <w:sz w:val="24"/>
          <w:szCs w:val="24"/>
        </w:rPr>
        <w:t>siano</w:t>
      </w:r>
      <w:r w:rsidR="0096569D" w:rsidRPr="00EC5E30">
        <w:rPr>
          <w:sz w:val="24"/>
          <w:szCs w:val="24"/>
        </w:rPr>
        <w:t xml:space="preserve"> compensate tramite l’acquisto da parte di Egea stessa di crediti di carbonio certificati (VER). </w:t>
      </w:r>
      <w:r w:rsidR="00EC5E30" w:rsidRPr="00EC5E30">
        <w:rPr>
          <w:sz w:val="24"/>
          <w:szCs w:val="24"/>
        </w:rPr>
        <w:t>Maglificio Po ha</w:t>
      </w:r>
      <w:r w:rsidR="0096569D" w:rsidRPr="00EC5E30">
        <w:rPr>
          <w:sz w:val="24"/>
          <w:szCs w:val="24"/>
        </w:rPr>
        <w:t xml:space="preserve"> deciso di aderire all’opzione, che inizierà a decorrere al rinnovo del contratto.</w:t>
      </w:r>
    </w:p>
    <w:p w14:paraId="0F4A816A" w14:textId="42A0B1A8" w:rsidR="00135127" w:rsidRPr="00EC5E30" w:rsidRDefault="00135127" w:rsidP="00135127">
      <w:pPr>
        <w:ind w:left="1410" w:hanging="1410"/>
        <w:jc w:val="both"/>
        <w:rPr>
          <w:rFonts w:eastAsiaTheme="minorEastAsia"/>
          <w:sz w:val="24"/>
          <w:szCs w:val="24"/>
          <w:vertAlign w:val="subscript"/>
        </w:rPr>
      </w:pPr>
      <w:r w:rsidRPr="00EC5E30">
        <w:rPr>
          <w:b/>
          <w:bCs/>
          <w:sz w:val="24"/>
          <w:szCs w:val="24"/>
        </w:rPr>
        <w:t>Conclusione</w:t>
      </w:r>
      <w:r w:rsidRPr="00EC5E30">
        <w:rPr>
          <w:sz w:val="24"/>
          <w:szCs w:val="24"/>
        </w:rPr>
        <w:t>:</w:t>
      </w:r>
      <w:r w:rsidRPr="00EC5E30">
        <w:rPr>
          <w:sz w:val="24"/>
          <w:szCs w:val="24"/>
        </w:rPr>
        <w:tab/>
        <w:t>Il 27% dell’energia elettrica proviene dall’impianto fotovoltaico, il restante 73% è certificata green dal fornitore. A partire dal rinnovo del contratto del gas, anche quello sarà certificato.</w:t>
      </w:r>
    </w:p>
    <w:sectPr w:rsidR="00135127" w:rsidRPr="00EC5E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86D78" w14:textId="77777777" w:rsidR="00C76E6F" w:rsidRDefault="00C76E6F" w:rsidP="00E06E33">
      <w:pPr>
        <w:spacing w:after="0" w:line="240" w:lineRule="auto"/>
      </w:pPr>
      <w:r>
        <w:separator/>
      </w:r>
    </w:p>
  </w:endnote>
  <w:endnote w:type="continuationSeparator" w:id="0">
    <w:p w14:paraId="08FD660D" w14:textId="77777777" w:rsidR="00C76E6F" w:rsidRDefault="00C76E6F" w:rsidP="00E06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FD58E" w14:textId="77777777" w:rsidR="00C76E6F" w:rsidRDefault="00C76E6F" w:rsidP="00E06E33">
      <w:pPr>
        <w:spacing w:after="0" w:line="240" w:lineRule="auto"/>
      </w:pPr>
      <w:r>
        <w:separator/>
      </w:r>
    </w:p>
  </w:footnote>
  <w:footnote w:type="continuationSeparator" w:id="0">
    <w:p w14:paraId="18E4975F" w14:textId="77777777" w:rsidR="00C76E6F" w:rsidRDefault="00C76E6F" w:rsidP="00E06E33">
      <w:pPr>
        <w:spacing w:after="0" w:line="240" w:lineRule="auto"/>
      </w:pPr>
      <w:r>
        <w:continuationSeparator/>
      </w:r>
    </w:p>
  </w:footnote>
  <w:footnote w:id="1">
    <w:p w14:paraId="53C24E70" w14:textId="1EB6ED96" w:rsidR="00012DB4" w:rsidRDefault="00012DB4" w:rsidP="0096569D">
      <w:pPr>
        <w:pStyle w:val="Testonotaapidipagina"/>
        <w:jc w:val="both"/>
      </w:pPr>
      <w:r>
        <w:rPr>
          <w:rStyle w:val="Rimandonotaapidipagina"/>
        </w:rPr>
        <w:footnoteRef/>
      </w:r>
      <w:r w:rsidR="00294E21">
        <w:t xml:space="preserve"> Per </w:t>
      </w:r>
      <w:r w:rsidR="00C35725">
        <w:t xml:space="preserve">mantenere scorrevole </w:t>
      </w:r>
      <w:r w:rsidR="00294E21">
        <w:t>la narrazione, il documento non è inserito in Allegato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F729AD"/>
    <w:multiLevelType w:val="hybridMultilevel"/>
    <w:tmpl w:val="FA344610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7B9252F6"/>
    <w:multiLevelType w:val="hybridMultilevel"/>
    <w:tmpl w:val="F0A456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8C8"/>
    <w:rsid w:val="00004472"/>
    <w:rsid w:val="00012DB4"/>
    <w:rsid w:val="00135127"/>
    <w:rsid w:val="00294E21"/>
    <w:rsid w:val="0031145E"/>
    <w:rsid w:val="004375FD"/>
    <w:rsid w:val="004B313D"/>
    <w:rsid w:val="00691FBF"/>
    <w:rsid w:val="006E71F1"/>
    <w:rsid w:val="00721967"/>
    <w:rsid w:val="00732D70"/>
    <w:rsid w:val="008C6F0C"/>
    <w:rsid w:val="0096569D"/>
    <w:rsid w:val="00B228C8"/>
    <w:rsid w:val="00C35725"/>
    <w:rsid w:val="00C76E6F"/>
    <w:rsid w:val="00C76FD0"/>
    <w:rsid w:val="00CC2A14"/>
    <w:rsid w:val="00CC56A6"/>
    <w:rsid w:val="00D27F96"/>
    <w:rsid w:val="00E06E33"/>
    <w:rsid w:val="00E87CD8"/>
    <w:rsid w:val="00EC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55308"/>
  <w15:chartTrackingRefBased/>
  <w15:docId w15:val="{381629A4-EABF-468B-A0F0-662937217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06E33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06E3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06E3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06E33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E06E3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06E33"/>
    <w:rPr>
      <w:color w:val="605E5C"/>
      <w:shd w:val="clear" w:color="auto" w:fill="E1DFDD"/>
    </w:rPr>
  </w:style>
  <w:style w:type="character" w:styleId="Testosegnaposto">
    <w:name w:val="Placeholder Text"/>
    <w:basedOn w:val="Carpredefinitoparagrafo"/>
    <w:uiPriority w:val="99"/>
    <w:semiHidden/>
    <w:rsid w:val="00012DB4"/>
    <w:rPr>
      <w:color w:val="80808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B313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45D97-C3C8-427E-8294-0BAC5C8D9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stage2</dc:creator>
  <cp:keywords/>
  <dc:description/>
  <cp:lastModifiedBy>Umberto Boggio Viola</cp:lastModifiedBy>
  <cp:revision>16</cp:revision>
  <dcterms:created xsi:type="dcterms:W3CDTF">2021-06-07T12:06:00Z</dcterms:created>
  <dcterms:modified xsi:type="dcterms:W3CDTF">2021-08-31T00:56:00Z</dcterms:modified>
</cp:coreProperties>
</file>